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20 156 vom 16. März 2023</w:t>
      </w:r>
    </w:p>
    <w:p>
      <w:r>
        <w:t>VS Kantonsgericht, 2023-03-16, FR</w:t>
      </w:r>
    </w:p>
    <w:p>
      <w:r>
        <w:rPr>
          <w:b/>
        </w:rPr>
        <w:t xml:space="preserve">Quelle: </w:t>
      </w:r>
      <w:r>
        <w:t>https://mcp.opencaselaw.ch/entscheid/vs_gerichte_S1 20 156</w:t>
      </w:r>
    </w:p>
    <w:p>
      <w:r>
        <w:t>FR: VS_GERICHTE S1 20 156 du 16 mars 2023</w:t>
      </w:r>
    </w:p>
    <w:p>
      <w:r>
        <w:t>IT: VS_GERICHTE S1 20 156 del 16 marzo 2023</w:t>
      </w:r>
    </w:p>
    <w:p>
      <w:pPr>
        <w:pStyle w:val="Heading2"/>
      </w:pPr>
      <w:r>
        <w:t>Regeste</w:t>
      </w:r>
    </w:p>
    <w:p>
      <w:r>
        <w:t>S1 20 156 JUGEMENT DU 16 MARS 2023 Tribunal cantonal du Valais Cour des assurances sociales Composition : Candido Prada, président ; Jean-Bernard Fournier et Christophe Joris, juges ; Ferdinand Vanay, greffier en la cause X _________, recourante, représentée par Maître Yannis Sakkas, avocat, 1920 Martigny contre OFFICE CANTONAL AI DU VALAIS, 1950 Sion, intimé (art. 17 LPGA ; révision ; diminution d’une rente d’invalidité)</w:t>
      </w:r>
    </w:p>
    <w:p>
      <w:pPr>
        <w:pStyle w:val="Heading2"/>
      </w:pPr>
      <w:r>
        <w:t>Erwägungen</w:t>
      </w:r>
    </w:p>
    <w:p>
      <w:r>
        <w:rPr>
          <w:b/>
        </w:rPr>
        <w:t>E. 26</w:t>
      </w:r>
    </w:p>
    <w:p>
      <w:r>
        <w:t>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w:t>
      </w:r>
    </w:p>
    <w:p>
      <w:r>
        <w:t>- 13 - situation médicale d'un assuré, ce qui implique aussi, en présence de pièces médicales contradictoires, de dire s'il y a lieu de se fonder sur l'une ou l'autre ou s'il y a lieu de procéder à une instruction complémentaire (arrêts du Tribunal fédéral 9C_670/2020 du</w:t>
      </w:r>
    </w:p>
    <w:p>
      <w:r>
        <w:rPr>
          <w:b/>
        </w:rPr>
        <w:t>E. 28</w:t>
      </w:r>
    </w:p>
    <w:p>
      <w:r>
        <w:t>juillet 2020 consid. 3.2 et 9C_518/2007 du 14 juillet 2008 consid. 3.2). 3.4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consid. 4.4, 125 V 351 consid. 3a, 122 V 157 consid. 1c et les références citées ; v. aussi, en matière d’expertise psychiatrique, ATF 148 V 49 consid. 6.2.1).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différence consacrée par la jurisprudence entre un mandat thérapeutique et un mandat d'expertise (ATF 124 I 170 consid. 4 et arrêt I 514/06 du 25 mai 2007 consid. 2.2.1, in : SVR 2008 IV Nr. 15 p. 43), on ne saurait remettre en cause 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 conclusions de l'expert (ATF 124 I 170 consid. 4a et arrêt 9C_369/2008 du 5 mars 2009 consid. 2.2). 3.5 Selon la jurisprudence (ATF 143 V 418), il y a lieu d’appliquer à toutes les maladies psychiques la procédure d’administration des preuves prévalant en matière de troubles douloureux sans substrat organique (troubles somatoformes douloureux) et de troubles psychosomatiques analogues, à savoir au moyen d’une grille d’indicateurs (ATF 141 V 281). La preuve d’un trouble somatoforme douloureux, mais également celui d’un trouble psychique, suppose en premier lieu un diagnostic émanant d’un expert (psychiatre) et s’appuyant lege artis sur les critères d’un système de classification reconnu (ATF 141 V 281 consid. 2.1 et 2.1.1 ; ATF 130 V 396 consid. 5.3 et 6), en tenant compte en particulier</w:t>
      </w:r>
    </w:p>
    <w:p>
      <w:r>
        <w:t>- 14 - du critère de gravité inhérent à ce diagnostic et en faisant référence aux limitations fonctionnelles constatées (ATF 141 V 281 consid. 2.1.1 et 2.1.2). L’analyse doit également prendre en considération d’éventuels facteurs excluant la valeur invalidante de ces diagnostics (ATF 141 V 281 consid. 2.2, 2.2.1 et 2.2.2).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3.6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125 V 193 consid. 2 et les réf. cit.). Aussi n’existe-t-il pas, en droit des assurances sociales, un principe selon lequel l’administration ou le juge devrait statuer, dans le doute, en faveur de l’assuré (ATF 135 V 39 consid. 6.1 et arrêt du Tribunal fédéral 9C_298/2020 du 28 septembre 2020 consid. 2.2). 3.7 De jurisprudence constante, le juge des assurances sociales apprécie la légalité des décisions attaquées d'après l'état de fait existant au moment où la décision litigieuse</w:t>
      </w:r>
    </w:p>
    <w:p>
      <w:r>
        <w:t>- 15 - a été rendue ; les faits survenus postérieurement et ayant modifié cette situation doivent en principe faire l'objet d'une nouvelle décision administrative (ATF 144 V 210 consid. 4.3.1 et 131 V 242 consid. 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8C_239/2020 du 19 avril 2021 consid. 7.2.1 et les autres arrêts cités). 4.1 En l’occurrence, l’intimé a estimé, sur la base des renseignements médicaux au dossier, que l’état de santé de la recourante s’était amélioré et que, depuis le 22 janvier 2019 (date du rapport du Dr G _________), on pouvait raisonnablement exiger de celle- ci qu’elle exerce, à mi-temps et avec un rendement normal, une activité légère et adaptée, respectant plusieurs limitations fonctionnelles (positions de travail assise et alternée, port de charges limitées à 10 kg, pas de travaux lourds, marche à plat uniquement, pas d’activité en porte à faux, ni de rotation du tronc, pas d’activité à genoux, pas de travaux nécessitant de monter sur des échelles, pas de travail dans un plan supérieur à l’horizontal avec le membre supérieur gauche, pas de port de charges avec le bras gauche, pas d’activité sollicitant de manière accentuée le bras gauche). La recourante critique cette évaluation à plusieurs égards, invoquant notamment une violation de son droit à la preuve et reprochant à l’intimé de n’avoir pas correctement instruit le dossier au plan médical. La Cour examinera ci-après la valeur probante des renseignements médicaux aux plans somatique (cf. infra, consid. 4.2), psychiatrique (cf. infra, consid. 4.3) et oncologique (cf. infra, consid. 4.4), puis en discutera la synthèse (cf. infra, consid. 4.5). 4.2 La recourante relève d’abord qu’elle souffre de multiples atteintes somatiques incapacitantes, qui se sont aggravées depuis 2015 et qui n’ont jamais fait l’objet d’un examen probant. Elle soutient qu’une situation aussi complexe impose la mise en œuvre d’une expertise externe appréciant le tableau clinique dans son ensemble, ce qui n’a jamais été fait. Dans sa réponse, l’intimé expose notamment, en se référant au rapport final du SMR du 27 septembre 2017 (cf. pièce no 290), que l’atteinte oncologique diagnostiquée en 2016 justifiait à elle seule l’octroi d’une rente entière d’invalidité. Les autres atteintes</w:t>
      </w:r>
    </w:p>
    <w:p>
      <w:r>
        <w:t>- 16 - somatiques identifiées à ce moment-là entraînaient diverses limitations fonctionnelles, mais n’empêchaient pas l’exercice à temps plein d’une activité lucrative adaptée. 4.2.1 La Cour rappelle que, dans son jugement S1 18 9 (consid. 3.2), elle avait estimé que l’examen effectué le 10 décembre 2014 par le Dr A _________, médecin au SMR qui concluait à une pleine capacité de travail dans une activité adaptée aux limitations fonctionnelles de la recourante, disposait d’une valeur probante entière que les avis divergents des médecins traitants (rapport du Dr K _________ du 10 février 2016, sous pièce no 224 ; avis du Dr M _________ du 23 septembre 2015, sous pièce no 226) ne permettaient pas de remettre en cause. La Cour a aussi retenu, dans ce même jugement, qu’à l’exception de l’apparition notable du cancer du sein, les autres affections somatiques que présentait l’assurée n’avaient pas évolué durant l’année 2015 de manière à influencer sa capacité de travail avant janvier 2016, date à laquelle l’incapacité totale de travailler avait été reconnue par l’OAI. Elle en a déduit que l’intimé n’avait pas à examiner plus avant le volet somatique du dossier de la recourante, l’avis précité du Dr A _________ étant suffisant à cet égard. 4.2.2 Il convient dès lors de déterminer si les pièces médicales versées au dossier permettent de retenir qu’entre les décisions d’octroi de rente entière de novembre 2017 entrées en force et reposant sur un examen complet du droit à la rente et celle du 16 juin 2020 la réduisant de moitié, les atteintes somatiques dont la recourante est atteinte (autres que le cancer du sein) se sont péjorées au point de remettre en question les conclusions du Dr A _________. Or, force est de constater que le dossier de l’intimé ne comporte aucun rapport médical allant dans ce sens. La seule nouvelle affection somatique signalée est une anémie ferriprive importante, avec asthénie marquée et douleurs articulaires diffuses, qu’atteste la Dresse F _________ en charge du suivi oncologique de l’assurée (cf. rapport du 7 mai 2018, sous pièce no 324 ; courrier annoté reçu par l’OAI le 9 novembre 2018, sous pièce no 330). Or, cette praticienne relève que cette affection est en cours d’investigation, mais elle n’évoque nullement une péjoration durable de l’état de santé de l’assurée. Dans ces conditions, c’est à bon droit que l’intimé a centré son examen sur l’évolution de l’atteinte oncologique et des problèmes psychiatriques et qu’il a renoncé à investiguer les autres affections somatiques, à propos desquelles les conclusions du Dr A _________ sont toujours valables. Les critiques que la recourante formule à ce sujet sont donc écartées. 4.2.3 Céans, la recourante a déposé un rapport établi le 26 janvier 2021 par le Dr K _________. Ce document indique notamment qu’il suit la patiente depuis 2009 et que celle-ci fait état, depuis la mise en place de sa prothèse au genou droit la même</w:t>
      </w:r>
    </w:p>
    <w:p>
      <w:r>
        <w:t>- 17 - année, de douleurs persistantes de type mécanique au niveau de cette articulation. Ce spécialiste précise avoir fait de nombreuses investigations, qui avaient montré une intolérance de la rotule au matériel prothétique. Il relève que la patiente a été opérée à nouveau, le 22 janvier 2021, afin de mettre en place un resurfaçage de la rotule droite et de résoudre les lâchages articulaires qui étaient apparus depuis 2019 et avaient rendu la situation de plus en plus invalidante. Le Dr K _________ fait état d’une évolution simple et d’une situation assez stable, les douleurs étant modérées et uniquement liées à des fatigues ou des efforts particuliers. La Cour est d’avis que ces renseignements ne mettent pas en évidence l’existence chez l’assurée d’atteintes au niveau du genou droit qui seraient antérieures au 16 juin 2020 et de nature à influer sur l’évaluation de l’invalidité. Elle rappelle que l’OAI a admis plusieurs limitations fonctionnelles en raison des problèmes de genoux de la recourante (en particulier, positions de travail assise et alternée, aucuns travaux lourds, marche à plat uniquement et aucune activité à genoux ou nécessitant de monter sur des échelles). A cet égard, il ne ressort nullement du rapport du Dr K _________ que ces limitations seraient inadéquates ou qu’elles devraient être complétées. Dans ces circonstances, cette nouvelle pièce n’est pas de nature à remettre en question l’appréciation médicale sur laquelle l’intimé s’est fondé pour rendre sa décision du 16 juin 2020. Il en va de même du fait que l’OAI a chargé l’Hôpital Riviera-Chablais et le médecin précité d’établir un rapport médical, le 26 juillet 2021 (cf. lettre de l’OAI produite par la recourante, le 12 août 2021). En effet, ces mesures d’instruction visent à déterminer l’évolution de la situation médicale après le 16 juin 2020 et, contrairement à ce que l’intéressée affirme, elles ne sont donc pas aptes à démontrer un défaut d’instruction du dossier au moment où l’intimé a rendu sa décision. La recourante a aussi produit, le 12 avril 2021, un rapport du 8 janvier 2021 émanant de son médecin traitant, la Dresse L _________. Les atteintes au niveau du rachis (discopathies étagées cervicales et lombaires) et des genoux (gonalgies et gonarthrose) qui y sont diagnostiquées sont connues et ont été dûment prises en compte par l’OAI. Quant aux gastralgies récidivantes (avec plusieurs épisodes d’hémorragies digestives et d’anémie ferriprive) et aux troubles de l’équilibre et de la marche avec un schwannome vestibulaire droit (grade III, traitée par gamma knife en 2013) et un schwannome du cavum de Meckel gauche (stable), rien ne permet d’affirmer que ces affections sont susceptibles d’influer durablement sur la capacité de travail de la recourante. Au demeurant, la Cour relève, s’agissant des troubles de l’équilibre et de la marche, que l’intimé a retenu à juste titre que l’assurée ne pouvait pas monter sur des échelles et qu’elle devait uniquement marcher à plat. Il apparaît donc que l’OAI a bien tenu compte des troubles précités dans la fixation des limitations fonctionnelles. Enfin, les deux autres</w:t>
      </w:r>
    </w:p>
    <w:p>
      <w:r>
        <w:t>- 18 - diagnostics posés par la Dresse L _________ concernent respectivement les atteintes oncologique et psychiatrique, à propos desquelles elle ne fait état d’aucun élément nouveau particulier et qui seront discutées dans les considérants qui suivent. Dès lors, cette nouvelle pièce médicale n’est, elle non plus, d’aucune aide à la recourante. 4.3 S’agissant de l’appréciation de la situation psychiatrique, la recourante critique la valeur probante de l’expertise du Dr D _________ qui, selon elle, ne respecte pas les réquisits jurisprudentiels. Elle relève que les conclusions de l’expert s’écartent des avis des psychiatres traitants et ont été partiellement remises en question par l’OAI. Elle pointe également le fait que cette expertise réalisée en 2017 n’est pas apte à rendre objectivement compte de son état de santé en 2020, celui-ci s’étant péjoré entre-temps. 4.3.1 Dans son jugement S1 18 9 (consid. 3.3.1 et 3.3.2), la Cour a cependant retenu que le rapport d’expertise du Dr D _________ remplissait tous les réquisits jurisprudentiels permettant d’établir sa valeur probante et qu’il n’était donc pas nécessaire de mettre en œuvre une nouvelle expertise psychiatrique comme demandé par la recourante. Elle a précisé que l’expert avait exclu le trouble douloureux somatoforme persistant, en expliquant de manière convaincante pour quelles raisons les critères jurisprudentiels fixés pour l’évaluation de la gravité de cette atteinte n’étaient pas remplis au point de justifier une incapacité de travail. Elle a aussi retenu que les éléments mis en avant par les psychiatres du CCPP – à savoir de l’irritabilité, de l’anxiété, des douleurs chroniques, une humeur dépressive, de la fatigabilité, une baisse de l’élan vital, une anhédonie, des difficultés à se projeter dans l’avenir et des insomnies d’endormissement – ne traduisaient pas une atteinte grave au point de justifier une incapacité de travail. La Cour a encore indiqué que lesdits psychiatres n’avaient pas mis en évidence un retrait ou un isolement social de l’assurée en lien avec son affection psychique, que celle-là disposait encore d’un réseau, à tout le moins familial, qu’elle continuait d’entretenir et sur lequel elle pouvait compter et que son traitement médicamenteux était le même depuis plusieurs années. Au plan de la cohérence entre l’analyse du degré de gravité fonctionnel, d’une part, et la répercussion de l’atteinte dans les différents domaines de la vie et le traitement suivi, d’autre part, la Cour a constaté qu’à la lecture de l’anamnèse des rapports médicaux du CCPP et de l’expertise du Dr D _________, aucune répercussion concrète des troubles psychiques de la recourante sur sa qualité de vie n’était mentionnée. Céans, l’intéressée n’énonce aucun argument précis et ciblé à l’encontre de l’expertise précitée, de sorte que la Cour s’en tient à ses précédentes conclusions, selon lesquelles la valeur probante de ladite expertise est entière.</w:t>
      </w:r>
    </w:p>
    <w:p>
      <w:r>
        <w:t>- 19 - 4.3.2 Quant à l’évolution de l’état de santé psychique de l’assurée depuis les décisions de l’intimé de novembre 2017, il y a lieu de relever encore les éléments suivants. 4.3.2.1 Dans son rapport du 19 juin 2018, la Dresse E _________ qualifie cette évolution de « lentement favorable » et ne fait mention d’aucun diagnostic nouveau (cf. pièce no 327). On ne peut donc pas suivre la recourante lorsque celle-ci affirme que cette praticienne met en évidence une péjoration de son état de santé psychique, en raison de symptômes plus graves ou plus nombreux. 4.3.2.2 La recourante a en outre déposé céans, le 8 février 2021, un rapport établi le 2 février précédent par les Drs I _________ et J _________, médecins en charge de son suivi psychiatrique. Ceux-ci diagnostiquent plusieurs affections chez la patiente :  Ils identifient d’abord un trouble dépressif récurrent, épisode actuel moyen, avec syndrome somatique (F33.11), ainsi qu’un trouble somatoforme douloureux qu’ils qualifient d’invalidant depuis 2012. Il s’agit des mêmes diagnostics que ceux posés par l’expert. Toutefois, celui-ci a conclu, après analyse circonstanciée et convaincante des indices jurisprudentiels de gravité, que le trouble somatoforme ne remplissait pas un tel critère de gravité et n’avait donc pas de répercussion sur la capacité de travail (cf. rapport d’expertise p. 46 à 48 et p. 52, sous pièce no 276). La simple affirmation contraire des psychiatres traitants, d’une valeur probante moindre, n’est pas apte à remettre en cause l’avis de l’expert.  Ensuite, les Drs I _________ et J _________ indiquent que la patiente souffre d’un état de stress post-traumatique (F43.1), qui est la conséquence du cancer dont elle a été atteinte (image d’un corps mutilé et altéré, reviviscences, flashbacks de l’annonce de la maladie). Le Dr D _________ ne mentionne pas l’existence d’un tel trouble, mais parle d’une détérioration nette de la santé psychique, avec un effondrement dépressif, depuis la découverte de l’affection oncologique en janvier 2016 (cf. idem p. 57). Il indique à plusieurs reprises que cette péjoration a engendré chez la recourante des limitations significatives, à savoir une tristesse modérée mais présente la plupart de la journée, un ralentissement psychomoteur modéré, une fatigabilité, des troubles de la concentration modérés mais significatifs, des idées noires fluctuantes sans projets suicidaires, un isolement social partiel avec une fragilité au stress et une instabilité émotionnelle (cf. idem p. 30, 35, 43 et 53). Ces limitations ont conduit l’expert à reconnaître une incapacité de travail de 50 %. Les psychiatres traitants n’expliquent pas en quoi le diagnostic d’état de stress post-traumatique (F43.1)</w:t>
      </w:r>
    </w:p>
    <w:p>
      <w:r>
        <w:t>- 20 - créerait chez l’intéressée des limitations différentes de celles précitées, que l’OAI a reconnues, ou un impact plus important sur la capacité de travail de l’assurée. Dans ces conditions, la Cour n’a pas de raison de s’écarter de l’avis de l’intimé, qui estime dans sa détermination du 23 mars 2021 que le rapport desdits psychiatres dépeint une situation similaire à celle qui prévalait précédemment.  Les psychiatres traitants mentionnent aussi des troubles dissociatifs (F44). Ils n’exposent toutefois ni en quoi ces troubles – qui sont par nature très hétérogènes – consistent, ni quel en serait l’origine, ni en quoi ils pourraient faire obstacle à l’exercice d’une activité lucrative adaptée. La Cour ne s’attardera donc pas sur ce diagnostic, dont on ignore en outre s’il pourrait correspondre à une pathologie entièrement nouvelle ou déjà présente lorsque l’intimé a rendu ses décisions de novembre 2017.  Enfin, les psychiatres traitants diagnostiquent des troubles mixtes de la personnalité (anxieuse, labile ; F61). L’expert s’est penché également sur cette question et n’a pas retenu de troubles anxieux spécifiques, mais des symptômes anxieux résiduels faisant partie d’un épisode dépressif récurrent moyen. Il a indiqué que la patiente présentait des traits d’une personnalité émotionnellement labile de type borderline, mais que ceux-ci n’avaient aucune influence sur la capacité de travail et n’étaient pas décompensés. Il a ainsi exclu la présence d’un trouble de la personnalité en relevant que, par le passé, l’intéressée n’avait pas été empêchée de travailler à 100 % et d’avoir une vie familiale relativement normale (cf. rapport d’expertise p. 43 s., p. 47, p. 50 et p. 55). Les Drs I _________ et J _________ n’apportent dans leur rapport aucun argument médical visant à contester l’appréciation probante de l’expert, à laquelle il y a lieu de se rallier. Il s’ensuit que le rapport précité des psychiatres traitants ne met non plus pas en évidence une péjoration de l’état de santé psychique de l’assurée depuis les décisions de l’intimé de novembre 2017. 4.3.2.3 La recourante a produit un autre rapport médical, le 8 février 2021. Il s’agit d’une évaluation datée du 24 août 2020 et établie par trois neuropsychologues. Celles- ci se penchent sur les plaintes mnésiques de l’assurée et concluent à une atteinte cognitive d’intensité modérée, qui touche essentiellement le fonctionnement exécutif et attentionnel et qui s’inscrit de manière cohérente dans le cadre de l’épisode dépressif actuel moyen. La Cour remarque que le Dr D _________ relevait déjà en 2017 que la concentration et les capacités cognitives de l’assurée étaient faiblement conservées</w:t>
      </w:r>
    </w:p>
    <w:p>
      <w:r>
        <w:t>- 21 - cliniquement et que les tests pratiqués faisaient état de capacités intellectuelles et de concentration nettement sous la moyenne, ce qui concordait avec les plaintes subjectives et le niveau d’acquisition (cf. rapport d’expertise p. 34 et 36). L’expert retenait, parmi plusieurs limitations, notamment un ralentissement psychomoteur modéré ainsi que des troubles de la concentration modérés mais significatifs (cf. idem p. 30 et 35). De l’avis de la Cour, ce nouveau rapport médical ne met donc pas en évidence une détérioration de l’état de santé de la recourante au plan neurocognitif depuis les décisions de novembre 2017. Quant à la conclusion des neuropsychologues, qui indiquent que l’atteinte cognitive rend « peu envisageable » la reprise d’une activité professionnelle, elle doit être relativisée. En effet, ces spécialistes ne sont pas très affirmatives dans leur propos et elles relèvent que d’autres facteurs participent vraisemblablement à la symptomatologie (faible niveau socio-éducatif, maîtrise partielle de la langue française, lunettes apparemment non adaptées à la vue actuelle, fatigue en lien avec une perturbation du sommeil, douleurs physiques, possibles séquelles dues aux traitements suivis). 4.3.2.4 Partant, il y a lieu de retenir que l’état de santé psychique de l’assurée n’a pas évolué significativement depuis les décisions de l’intimé de novembre 2017 et que les conclusions de l’expertise psychiatrique du Dr D _________, pour qui l’assurée présente une capacité de travail de 50 % sans baisse de rendement dès le 1er janvier 2016, étaient toujours valables au moment où l’OAI a rendu sa décision de diminution de rente, le 16 juin 2020. 4.4 La recourante conteste encore l’appréciation de l’intimé en ce qui concerne l’atteinte oncologique. Elle rappelle que la Dresse F _________, en charge de son suivi à l’Hôpital Riviera-Chablais, avait mentionné l’existence de douleurs importantes chroniques, une asthénie ainsi que des mastodynies gauches et concluait à une incapacité de travail complète (cf. rapport du 7 mai 2018, sous pièce no 324 ; courrier annoté reçu par l’OAI le 9 novembre 2018, sous pièce no 330). Elle soutient que le rapport que le Dr G _________ a établi en remplacement de la Dresse F _________, le 22 janvier 2019, n’est pas probant, dès lors que ce médecin n’était pas en charge de son suivi, qu’il ne l’avait jamais vue, qu’il émettait des réserves quant à son appréciation de la capacité de travail et qu’il ne formulait, en définitive, qu’un souhait visant à encourager celle-ci à reprendre un emploi à mi-temps. D’après la recourante, l’intimé ne pouvait donc pas se fonder sur ce rapport médical pour conclure à une capacité de travail de 50 % en lien avec l’atteinte oncologique.</w:t>
      </w:r>
    </w:p>
    <w:p>
      <w:r>
        <w:t>- 22 - 4.4.1 Ces griefs ne sont pas convaincants. En effet, la Cour relève d’abord qu’en janvier 2019, le Dr G _________ était le médecin chef ad interim du service d’oncologie de l’Hôpital Riviera-Chablais (cf. pièce no 335). Elle ne saurait sérieusement considérer que ce spécialiste en oncologie, qui était hiérarchiquement supérieur à la Dresse F _________, ne disposait pas des compétences ou des renseignements adéquats lui permettant de se prononcer en connaissance de cause sur la situation médicale de la recourante, laquelle avait été prise en charge depuis trois ans dans le service en question. Ensuite, la Cour remarque que, dans son rapport, le Dr G _________ indique que la patiente n’a pour le moment pas de maladie active et qu’elle montre un état général stable, avec une bonne tolérance au traitement oncologique. Il signale qu’elle présente des mastodynies gauches qui sont « ennuyantes » et qui proviennent du mouvement régulier du bras gauche. De l’avis de la Cour, ces constatations sont rassurantes quant à l’état de santé de la recourante. Elles permettent objectivement de retenir que l’atteinte cancéreuse n’est plus active et que la patiente fait l’objet de contrôles et d’une médication qu’elle supporte bien. 4.4.2 Certes, il est exact que le Dr G _________ indique que « pour nous, oncologues, il est très difficile d’évaluer la capacité de travailler ». Cette affirmation, qui peut s’expliquer compte tenu des autres affections somatiques et psychiques dont souffre l’intéressée, ne remet pas fondamentalement en question l’appréciation de ce spécialiste quant à la capacité de travail de l’assurée du point de vue oncologique. En effet, ce médecin indique par la suite : « pour le moment, je ne vois pas de raison pour que la patiente ne soit pas intégrée dans le processus du travail. Je commencerais, de base, avec un 50 % dès ce jour » ; plus loin, il ajoute : « je ne vois pas, strictement, des raisons oncologiques qui justifient l’incapacité, sauf les problèmes à la cicatrice du sein gauche qui peuvent être évalués par un confrère de la médecine du travail. De plus, le chirurgien peut donner son avis en ce qui concerne ce sujet-là ». Comme le relève l’OAI dans sa réponse, ces affirmations sont claires et permettent de retenir que l’atteinte oncologique ne justifie per se aucune incapacité de travail et que l’assurée est apte à reprendre une activité lucrative adaptée à 50 % (au minimum) dès le 22 janvier 2019. Enfin, les mastodynies gauches que signalent les Drs F _________ et G _________ ont été prises en compte par l’OAI, qui a retenu à cet égard, conformément à l’avis du SMR du 18 février 2019 (cf. rapport final p. 3, sous pièce no 336), des limitations fonctionnelles particulières pour le membre supérieur gauche. Les réserves que le Dr G _________ émet à ce propos ont donc été dûment prises en considération, de sorte qu’il n’était pas nécessaire de requérir l’avis d’un autre médecin.</w:t>
      </w:r>
    </w:p>
    <w:p>
      <w:r>
        <w:t>- 23 - 4.4.3 Il s’ensuit que l’appréciation faite par l’intimé des impacts de l’atteinte oncologique sur la capacité de travail de la recourante échappe à la critique. Cette conclusion rend superflue la requête de l’assurée visant à auditionner les Drs F _________ et G _________ (par appréciation anticipée des moyens de preuve, cf. ATF 145 I 167 consid. 4.1 et 140 I 285 consid. 6.3.1). 4.5 Dans un autre moyen, l’intéressée reproche à l’intimé de n’avoir pas apprécié la situation médicale dans sa globalité. Elle relève que plusieurs médecins l’ayant examinée ont attesté une incapacité de travail de 50 % au moins, tant au plan orthopédique que pour des motifs strictement oncologiques ou psychiatriques. Or, l’OAI s’était borné à retenir une incapacité de travail partielle, sans tenir compte des effets conjugués de chacune de ces affections, ce qui revenait à nier l’existence de certaines d’entre elles. 4.5.1 Lorsqu’un assuré souffre de diverses atteintes à la santé, son taux d'invalidité doit être déterminé sur la base d'une évaluation médicale globale incluant tous les handicaps (cf. p. ex. arrêts du Tribunal fédéral 9C_252/2021 du 9 février 2022 consid. 6 et 9C_115/2018 du 5 juillet 2018 consid. 4.3). Une simple addition des degrés d'incapacité de travail estimés en fonction des différents troubles fonctionnels et tableaux cliniques n'est pas admissible (arrêt du Tribunal fédéral 8C_548/2013 du 2 octobre 2013 consid. 5.2.2 et la réf. cit.). 4.5.2 En l’occurrence, la recourante a bénéficié, le 10 décembre 2014, d’un examen bi-disciplinaire rhumato-psychiatrique. Au plan rhumatologique, il a déjà été dit que les conclusions rendues à cette occasion par le Dr A _________ étaient toujours valables au moment où l’intimé a rendu sa décision de réduction de rente, le 16 juin 2020 (cf. supra, consid. 4.2.2). Dite décision prend bien en compte les limitations fonctionnelles admises par le médecin précité, lequel ne retient aucune incapacité de travail. Au niveau psychiatrique, l’examen du Dr B _________ a été complété par l’expertise du Dr D _________, à la suite du changement de jurisprudence relatif à l’évaluation des troubles somatoformes douloureux. Il en ressort que l’assurée présente diverses limitations psychiques qui lui permettent d’exercer une activité adaptée à 50 % au maximum (cf. supra, consid. 4.3.1 et 4.3.2). Cela a également été pris en considération par l’intimé dans sa décision. Enfin, du point de vue oncologique, le Dr G _________ estime que l’état de santé de l’intéressée ne l’empêche nullement d’être intégrée dans le processus du travail avec, pour commencer, une activité à mi-temps respectant certaines limitations fonctionnelles particulières pour le membre supérieur</w:t>
      </w:r>
    </w:p>
    <w:p>
      <w:r>
        <w:t>- 24 - gauche (cf. supra, consid. 4.4.2). L’OAI a aussi tenu compte desdites limitations dans sa décision de réduction de rente. Quoi qu’en dise la recourante, l’intimé a ainsi considéré toutes les affections incapacitantes attestées médicalement. Il n’a non plus pas ignoré les effets conjugués de ces affections, en retenant un cumul de limitations restreignant le type d’activité que l’assurée peut encore exercer. Quant au taux d’incapacité de travail, aucun élément médical au dossier ne laisse penser qu’il devrait être supérieur à 50 %. En effet, tant l’expert psychiatre que l’oncologue indiquent que l’état de santé de l’intéressée est compatible avec l’exercice d’une activité adaptée à mi-temps. En particulier, les renseignements fournis par le Dr G _________ ne permettent pas d’admettre que l’affection oncologique, qui a été traitée et n’est plus active, justifierait per se une incapacité de travail distincte de celle reconnue au plan psychiatrique, respectivement imposerait de reconnaître une incapacité de travail de plus de 50 %. Par ailleurs, contrairement à ce que semble penser la recourante, une discussion interdisciplinaire de synthèse entre les différents spécialistes consultés ne constitue pas une condition nécessaire pour la valeur probante de chacun des rapports médicaux particuliers, dans la mesure où les appréciations respectives sont compatibles les unes avec les autres (cf. p. ex. arrêt du Tribunal fédéral 9C_282/2012 du 29 août 2012 consid. 4.1 et les réf. cit.), ce qui est le cas en l’espèce. Partant, ce grief doit être écarté. 4.5.3 Cela conduit à rejeter la demande de la recourante visant la mise en œuvre d’une expertise multidisciplinaire, moyen qui n’est pas nécessaire à la résolution de l’affaire. 4.6 Au vu de ce qui précède, il y a lieu de retenir que l’intimé a rendu sa décision de réduction de rente en se fondant sur des renseignements médicaux probants. 5.1 Ensuite, il convient d’examiner si les modalités d’évaluation du taux d’invalidité conduisent effectivement à une révision de la rente, ce que la recourante conteste. A cet égard, l’OAI a d’abord évalué le revenu que l’assurée pouvait tirer d’une activité adaptée et l’a fixé à 23 476 fr. 45, sur la base des tableaux de l’ESS et avec un abattement de 15 %. Puis, il a comparé ce revenu avec le revenu sans invalidité (48 117 fr. 60), comparaison qui mettait en évidence un degré d’invalidité de 51 %, soit un taux donnant droit à une demi-rente de l’AI. Il a donc décidé que la rente entière dont l’assurée bénéficiait depuis 2017 devait être diminuée. 5.2 Pour évaluer le taux d'invalidité, le revenu que l'assuré aurait pu obtenir s'il n'était pas invalide est comparé avec celui qu'il pourrait obtenir en exerçant l'activité qui peut raisonnablement être exigée de lui après les traitements et les mesures de réadaptation,</w:t>
      </w:r>
    </w:p>
    <w:p>
      <w:r>
        <w:t>- 25 - sur un marché du travail équilibré (art. 16 LPGA et art. 28a al. 1 LAI).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139 V 28 consid. 3.3.2 et les réf. cit.). Dans la mesure où ces revenus ne peuvent être chiffrés exactement, ils doivent être estimés d’après les éléments connus dans le cas particulier, après quoi l’on compare entre elles les valeurs approximatives ainsi obtenues (arrêt du Tribunal fédéral 8C_312/2016 du 13 mars 2017 consid. 5.4.1). 5.3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 En page 29 de son mémoire, la recourante indique qu’elle conteste notamment le revenu sans invalidité. Elle mentionne le montant de 48 117 fr. 60 fixé par l’intimé et soutient qu’en se fondant sur les statistiques suisses du salaire, son revenu hypothétique est inférieur audit montant, puisque la branche économique prise en considération par l’intimé ne peut être retenue en l’espèce. La Cour relève que l’OAI a fixé le revenu sans invalidité sur la base d’un salaire horaire pour l’activité de femme de ménage (19 fr. 40), d’un nombre d’heures annuelles (2184) et d’un supplément pour le 13e salaire (8.33 % ; cf. feuille de calcul jointe à la décision du 16 juin 2020). Ce salaire horaire correspond aux informations données par l’ancien employeur de l’assurée (cf. lettre du 2 novembre 2010 et décomptes de 2007 à 2009, sous pièce no 18). Certes, ces décomptes montrent que le revenu annuel de l’intéressée avoisinait les 13 000 ou 14 000 fr., mais cela s’explique par le nombre d’heures effectuées (env. 700) qui correspond à une activité à</w:t>
      </w:r>
    </w:p>
    <w:p>
      <w:r>
        <w:rPr>
          <w:b/>
        </w:rPr>
        <w:t>E. 30</w:t>
      </w:r>
    </w:p>
    <w:p>
      <w:r>
        <w:t>%. L’OAI a en outre adapté ce revenu sans invalidité pour l’année 2010 à l’évolution nominale des salaires jusqu’en 2019 pour la branche économique « activités de service administratif et de soutien ». La recourante critique le choix de cette branche, mais n’indique pas quel autre secteur figurant dans les statistiques de l’OFS il aurait fallu considérer. A l’examen des différentes branches économiques que répertorie l’OFS, la Cour estime que le calcul opéré par l’intimé échappe à la critique. Il y a donc lieu de confirmer le montant retenu à titre de revenu sans invalidité. 5.4 S’agissant du revenu d’invalide, il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w:t>
      </w:r>
    </w:p>
    <w:p>
      <w:r>
        <w:t>- 26 - normalement exigible –, le revenu d’invalide peut être évalué sur la base de salaires fondés sur les données statistiques résultant de l’ESS publiée par l’Office fédéral de la statistique. Aux fins de déterminer le revenu d'invalide, les salaires fixés sur la base des données statistiques de l'ESS peuvent à certaines conditions faire l'objet d'un abattement de 25 % au plus (ATF 129 V 472 consid. 4.2.3 et 126 V 75 consid. 5b/aa- cc).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146 V 16 consid. 4.1). 5.4.1 In casu, la recourante affirme qu’il est irréaliste de considérer qu’elle puisse trouver une activité lucrative qui soit adaptée aux multiples limitations causées par ses problèmes de santé. Elle soutient que ceux-ci sont si nombreux qu’on ne peut sérieusement retenir qu’un employeur pourrait être à même de l’engager. L’intéressée ajoute que sa situation personnelle (femme âgée de près de 60 ans, sans formation, avec des difficultés à s’exprimer en français, sans activité exercée depuis 2010) rend concrètement impossible la reprise d’un quelconque emploi. Elle conteste donc toute prise en compte d’un revenu d’invalide. 5.4.1.1 La Cour estime d’abord que la recourante se réfère en vain aux limitations identifiées par l’expert psychiatre (à savoir une tristesse modérée mais présente la plupart de la journée, un ralentissement psychomoteur modéré, une fatigabilité, des troubles de la concentration modérés mais significatifs, des idées noires fluctuantes sans projets suicidaires, un isolement social partiel avec une fragilité au stress et une instabilité émotionnelle). Elle souligne que ces limitations ont été prises en considération dans le taux d’activité, en ce sens que l’expert a retenu une capacité de travail de 50 % au maximum, permettant ainsi à l’intéressée d’aménager des périodes de repos qui lui sont nécessaires. Elle ajoute que ces limitations ne restreignent pas significativement le choix des activités adaptées à l’état de santé de la recourante, dans la mesure où celles- ci sont légères, simples et accessibles sans formation préalable particulière. 5.4.1.2 Ensuite, au plan somatique, la recourante est en mesure d’exercer une activité qui respecte les limitations fonctionnelles suivantes : - positions de travail assise et alternée, - port de charges limité à 10 kg, - pas de travaux lourds,</w:t>
      </w:r>
    </w:p>
    <w:p>
      <w:r>
        <w:t>- 27 - - marche à plat uniquement, - pas d’activité en porte à faux, ni de rotation du tronc, - pas d’activité à genoux, - pas de travaux nécessitant de monter sur des échelles, - pas de travail dans un plan supérieur à l’horizontal avec le membre supérieur gauche, - pas de port de charges avec le bras gauche, - pas de poste sollicitant de manière accentuée le bras gauche. Il est exact que ces limitations peuvent paraître nombreuses. Il faut néanmoins relever que certaines d’entre elles sont plutôt spécifiques et n’excluent qu’un nombre très restreint d’activités (pas de travaux lourds, marche à plat uniquement, pas d’activité à genoux, pas de travaux nécessitant de monter sur des échelles), tandis que d’autres ne concernent que le bras gauche, lequel doit être ménagé autant que possible. On ne saurait d’ailleurs suivre la recourante lorsque celle-ci soutient que ce bras est totalement inutilisable ; cela ne ressort nullement des limitations précitées. La Cour ne peut ainsi pas considérer qu’il n’existe aucun poste de travail adapté à l’état de santé de l’assurée sur le marché du travail équilibré, qui est une notion théorique et abstraite impliquant notamment un équilibre entre l'offre et la demande de main d'œuvre ainsi qu'un marché du travail structuré de telle sorte qu'il offre un éventail d'emplois diversifiés tant au regard des exigences professionnelles et intellectuelles qu'au niveau des sollicitations physiques (cf. p. ex. arrêt du Tribunal fédéral 9C_597/2018 du 18 janvier 2019 consid. 5.2). En effet, il n'est pas irréaliste d'admettre qu'un tel marché équilibré, et non concret, offre à l’intéressée de réelles possibilités d'embauche dans une activité à temps partiel adaptée à son état de santé. Dans un compte rendu du 20 mai 2019, les conseillers en matière d’orientation professionnelle de l’OAI retiennent d’ailleurs qu’il existe, sur le premier marché de l’emploi, des postes adaptés aux limitations fonctionnelles et accessibles sans formation, comme par exemple surveillante de chaîne de conditionnement, ouvrière de contrôle de production, ouvrière à la pose des bracelets de montres, opératrice de contrôle, ouvrière de montage industriel léger, ouvrière de contrôle qualité de petites pièces (cf. pièce no 341). Selon la jurisprudence, ces tâches de surveillance, de vérification ou de contrôle offrent en principe un éventail suffisamment large d'activités accessibles (cf. p. ex. arrêt du Tribunal fédéral 9C_232/2022 du 4 octobre 2022 consid. 4.3 et les réf. cit.). 5.4.1.3 Quant aux facteurs tels que l'âge, le manque de formation ou les difficultés linguistiques, que la recourante invoque également, il est vrai qu’ils peuvent jouer un rôle non négligeable pour déterminer, dans un cas concret, les activités que l'on peut encore</w:t>
      </w:r>
    </w:p>
    <w:p>
      <w:r>
        <w:t>- 28 - raisonnablement exiger d'un assuré. Toutefois,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(arrêts du Tribunal fédéral 9C_188/2019 du 10 septembre 2019 consid. 7.2 et 9C_774/2016 du 30 juin 2017 consid. 5.2). In casu, la recourante, née en juin 1961, était âgée de 57 ans au moment où il a été constaté que l’exercice (partiel) d’une activité lucrative était médicalement exigible (soit au 22 janvier 2019, date du rapport du Dr G _________ ; à ce sujet, cf. ATF 138 V 457 consid. 3.3). Elle n’avait donc pas encore atteint le seuil à partir duquel on peut parler d’âge avancé (soit autour de 60 ans, cf. ATF 138 V 457 consid. 3.1) et qui impose un examen particulier de la situation. Quant aux difficultés linguistiques alléguées par l’assurée, elles doivent être relativisées puisque celle-ci a été en mesure de communiquer avec l’OAI et de se soumettre aux expertises médicales sans les services d’un interprète. Enfin, le manque de formation n’est pas un critère déterminant en l’occurrence, puisque les activités lucratives dont il est question sont accessibles sans formation préalable. 5.4.1.4 Pour ces motifs, la Cour ne peut pas considérer que les possibilités d’emploi sont en l’espèce si restreintes qu'elles n'existent pratiquement pas sur le marché général du travail ou que leur exercice suppose de la part de l'employeur des concessions irréalistes et que, de ce fait, il semble exclu pour la recourante de trouver une activité correspondante. 5.4.2 La recourante conteste aussi, à titre subsidiaire, l’abattement de 15 % retenu sur le salaire statistique d’invalide ; elle demande une déduction de 25 %, en invoquant les limitations causées par son état de santé.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Une déduction globale maximale de 25 % sur le salaire statistique permet de tenir compte des différents éléments qui peuvent influencer le revenu d'une activité lucrative (ATF 135 V 297 consid. 5.2, 134 V 322 consid. 5.2 et 126 V 75 consid. 5b/aa-cc). Il n'y a pas lieu de procéder à des déductions distinctes pour chacun des facteurs entrant en considération; il faut bien plutôt procéder à une évaluation globale, dans les limites du pouvoir d'appréciation, des effets de ces</w:t>
      </w:r>
    </w:p>
    <w:p>
      <w:r>
        <w:t>- 29 - facteurs sur le revenu d'invalide, compte tenu de l'ensemble des circonstances du cas concret (ATF 126 V 75 consid. 5b/bb ; arrêt du Tribunal fédéral 8C_66/2022 du 11 août 2022 consid. 6.1.2). Selon la jurisprudence, lorsque les limitations fonctionnelles ont été prises en compte dans le choix du type d'activité adaptée, elles ne doivent en principe pas être retenues une seconde fois dans la détermination de l'abattement (cf. p. ex. arrêts du Tribunal fédéral 8C_659/2021 du 17 février 2022 consid. 4.3.1 et 9C_497/2020 du 25 juin 2021 consid. 5.2.2). En l’espèce, il y a lieu de relever que les limitations que présente l’assurée ont été prises en considération dans la détermination du type d'activité adaptée (limitations au plan somatique) et de l’incapacité de travail à 50 % (limitations au plan psychiatrique). Bien que ces limitations ne devraient en principe pas entrer en ligne de compte pour la question de l’abattement, on peut néanmoins considérer que l’intéressée présente certains handicaps physiques et limitations psychiatriques susceptibles d’influer négativement sur sa rémunération, à l’instar de son âge. Ces désavantages ne sont toutefois pas aussi importants au point de justifier l’abattement maximum de 25 % que permet la jurisprudence. Un abattement de 15 %, tel que décidé par l’intimé, apparaît ainsi approprié. Le grief que la recourante formule à cet égard est donc rejeté. 5.4.3 Il y a par conséquent lieu de confirmer le salaire avec invalidité fixé par l’OAI. 5.5 Il s’ensuit qu’aucun des arguments de la recourante n’est de nature à jeter le doute sur l’évaluation du taux d’invalidité ressortant de la décision de l’intimé. Le degré d’invalidité de 51 % retenu par l’OAI doit donc être confirmé. Attendu ce qui précède, l’intimé a constaté à bon droit que l’assuré ne remplissait plus les conditions pour l’octroi d’une rente entière d’invalidité et a décidé à juste titre que celle-ci serait remplacée par une demi-rente. 6. Enfin, la recourante reproche à l’OAI de n’avoir pas analysé son droit à des mesures de réadaptation. Ce grief est manifestement mal fondé. En effet, comme le relève l’OAI dans sa réponse, la recourante n’a jamais manifesté sa volonté de se réadapter professionnellement. Les mesures mises en œuvre pas l’intimé à ce propos sont restées sans suite, l’intéressée ayant clairement indiqué qu’elle n’envisageait pas de reprendre une activité professionnel (cf. compte-rendu de l’orientation professionnelle du 20 mai 2019, sous pièce no 341). Dès lors, l’OAI n’avait pas à se prononcer sur le droit de la recourante à des mesures de réadaptation.</w:t>
      </w:r>
    </w:p>
    <w:p>
      <w:r>
        <w:t>- 30 - 7.1 Attendu ce qui précède, le recours est rejeté. 7.2 Les frais de justice, arrêtés à 500 fr. en fonction de l’importance de la procédure (art. 69 al. 1bis LAI), sont mis à la charge de la recourante qui succombe (art. 1 al. 2, 81a al. 2 et 89 al. 1 LPJA). Ils sont compensés par l’avance du même montant versée par l’intéressée. 7.3 Vu l’issue du litige, il n’est pas alloué de dépens (art. 61 let. g LPGA a contrario ;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